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108A" w14:textId="77777777" w:rsidR="00E361E1" w:rsidRPr="00E361E1" w:rsidRDefault="00E361E1" w:rsidP="00E361E1">
      <w:pPr>
        <w:keepNext/>
        <w:spacing w:after="120" w:line="240" w:lineRule="auto"/>
        <w:rPr>
          <w:rFonts w:ascii="Conduit ITC Pro" w:hAnsi="Conduit ITC Pro" w:cstheme="minorHAnsi"/>
          <w:sz w:val="24"/>
          <w:szCs w:val="24"/>
          <w:lang w:val="en-US"/>
        </w:rPr>
      </w:pPr>
      <w:r w:rsidRPr="00E361E1">
        <w:rPr>
          <w:rFonts w:ascii="Conduit ITC Pro" w:hAnsi="Conduit ITC Pro" w:cstheme="minorHAnsi"/>
          <w:b/>
          <w:bCs/>
          <w:sz w:val="24"/>
          <w:szCs w:val="24"/>
          <w:lang w:val="en-US"/>
        </w:rPr>
        <w:t>GUIDELINES FOR EXECUTIVE REMUNERATION</w:t>
      </w:r>
    </w:p>
    <w:p w14:paraId="0CBF4DC9" w14:textId="77777777" w:rsidR="00E361E1" w:rsidRPr="00E361E1" w:rsidRDefault="00E361E1" w:rsidP="00E361E1">
      <w:pPr>
        <w:spacing w:after="0" w:line="257" w:lineRule="auto"/>
        <w:rPr>
          <w:rFonts w:ascii="Conduit ITC Pro" w:hAnsi="Conduit ITC Pro" w:cstheme="minorHAnsi"/>
          <w:lang w:val="en-US"/>
        </w:rPr>
      </w:pPr>
      <w:r w:rsidRPr="00E361E1">
        <w:rPr>
          <w:rFonts w:ascii="Conduit ITC Pro" w:hAnsi="Conduit ITC Pro" w:cstheme="minorHAnsi"/>
          <w:lang w:val="en-US"/>
        </w:rPr>
        <w:t>These guidelines cover members of the Board, the CEO and other senior executives in RaySearch’s senior management group. The guidelines shall be applied to remuneration that is agreed, and changes made to remuneration already agreed, after adoption of the guidelines by the 2026 Annual General Meeting. These guidelines do not apply to any remuneration decided or approved by the General Meeting.</w:t>
      </w:r>
    </w:p>
    <w:p w14:paraId="2217CEB8" w14:textId="77777777" w:rsidR="00E361E1" w:rsidRPr="00E361E1" w:rsidRDefault="00E361E1" w:rsidP="00E361E1">
      <w:pPr>
        <w:spacing w:after="0" w:line="257" w:lineRule="auto"/>
        <w:rPr>
          <w:rFonts w:ascii="Conduit ITC Pro" w:hAnsi="Conduit ITC Pro" w:cstheme="minorHAnsi"/>
          <w:lang w:val="en-US"/>
        </w:rPr>
      </w:pPr>
    </w:p>
    <w:p w14:paraId="06623340" w14:textId="77777777" w:rsidR="00E361E1" w:rsidRPr="00E361E1" w:rsidRDefault="00E361E1" w:rsidP="00E361E1">
      <w:pPr>
        <w:keepNext/>
        <w:spacing w:after="120" w:line="240" w:lineRule="auto"/>
        <w:rPr>
          <w:rFonts w:ascii="Conduit ITC Pro" w:hAnsi="Conduit ITC Pro"/>
          <w:b/>
          <w:bCs/>
          <w:lang w:val="en-US"/>
        </w:rPr>
      </w:pPr>
      <w:r w:rsidRPr="00E361E1">
        <w:rPr>
          <w:rFonts w:ascii="Conduit ITC Pro" w:hAnsi="Conduit ITC Pro"/>
          <w:b/>
          <w:bCs/>
          <w:lang w:val="en-US"/>
        </w:rPr>
        <w:t>The guidelines’ promotion of the company’s business strategy, long-term interests and sustainability</w:t>
      </w:r>
    </w:p>
    <w:p w14:paraId="0054DFE4" w14:textId="77777777" w:rsidR="00E361E1" w:rsidRPr="00E361E1" w:rsidRDefault="00E361E1" w:rsidP="00E361E1">
      <w:pPr>
        <w:spacing w:after="120" w:line="240" w:lineRule="auto"/>
        <w:rPr>
          <w:rFonts w:ascii="Conduit ITC Pro" w:hAnsi="Conduit ITC Pro"/>
          <w:lang w:val="en-US"/>
        </w:rPr>
      </w:pPr>
      <w:r w:rsidRPr="00E361E1">
        <w:rPr>
          <w:rFonts w:ascii="Conduit ITC Pro" w:hAnsi="Conduit ITC Pro"/>
          <w:lang w:val="en-US"/>
        </w:rPr>
        <w:t xml:space="preserve">For information about the company’s business strategy, visit </w:t>
      </w:r>
      <w:hyperlink r:id="rId6" w:history="1">
        <w:r w:rsidRPr="00E361E1">
          <w:rPr>
            <w:rStyle w:val="Hyperlink"/>
            <w:rFonts w:ascii="Conduit ITC Pro" w:hAnsi="Conduit ITC Pro"/>
            <w:lang w:val="en-US"/>
          </w:rPr>
          <w:t>www.raysearchlabs.com</w:t>
        </w:r>
      </w:hyperlink>
      <w:r w:rsidRPr="00E361E1">
        <w:rPr>
          <w:rFonts w:ascii="Conduit ITC Pro" w:hAnsi="Conduit ITC Pro"/>
          <w:lang w:val="en-US"/>
        </w:rPr>
        <w:t xml:space="preserve">. </w:t>
      </w:r>
    </w:p>
    <w:p w14:paraId="531DE5CC" w14:textId="77777777" w:rsidR="00E361E1" w:rsidRPr="00E361E1" w:rsidRDefault="00E361E1" w:rsidP="00E361E1">
      <w:pPr>
        <w:spacing w:after="120" w:line="240" w:lineRule="auto"/>
        <w:rPr>
          <w:rFonts w:ascii="Conduit ITC Pro" w:hAnsi="Conduit ITC Pro"/>
          <w:lang w:val="en-US"/>
        </w:rPr>
      </w:pPr>
      <w:r w:rsidRPr="00E361E1">
        <w:rPr>
          <w:rFonts w:ascii="Conduit ITC Pro" w:hAnsi="Conduit ITC Pro"/>
          <w:lang w:val="en-US"/>
        </w:rPr>
        <w:t xml:space="preserve">A prerequisite for the successful implementation of the company’s business strategy and safeguarding of its long-term interests, including its sustainability, is that the company </w:t>
      </w:r>
      <w:proofErr w:type="gramStart"/>
      <w:r w:rsidRPr="00E361E1">
        <w:rPr>
          <w:rFonts w:ascii="Conduit ITC Pro" w:hAnsi="Conduit ITC Pro"/>
          <w:lang w:val="en-US"/>
        </w:rPr>
        <w:t>is able to</w:t>
      </w:r>
      <w:proofErr w:type="gramEnd"/>
      <w:r w:rsidRPr="00E361E1">
        <w:rPr>
          <w:rFonts w:ascii="Conduit ITC Pro" w:hAnsi="Conduit ITC Pro"/>
          <w:lang w:val="en-US"/>
        </w:rPr>
        <w:t xml:space="preserve"> recruit and retain qualified personnel. To this end, it is necessary that the company offers competitive remuneration. These guidelines enable the company to offer senior executives a competitive total remuneration. </w:t>
      </w:r>
    </w:p>
    <w:p w14:paraId="3D05B740" w14:textId="77777777" w:rsidR="00E361E1" w:rsidRPr="00E361E1" w:rsidRDefault="00E361E1" w:rsidP="00E361E1">
      <w:pPr>
        <w:rPr>
          <w:rFonts w:ascii="Conduit ITC Pro" w:hAnsi="Conduit ITC Pro"/>
          <w:lang w:val="en-US"/>
        </w:rPr>
      </w:pPr>
      <w:r w:rsidRPr="00E361E1">
        <w:rPr>
          <w:rFonts w:ascii="Conduit ITC Pro" w:hAnsi="Conduit ITC Pro"/>
          <w:lang w:val="en-US"/>
        </w:rPr>
        <w:t>Variable cash remuneration covered by these guidelines shall aim at promoting the company’s business strategy and long-term interests, including its sustainability.</w:t>
      </w:r>
    </w:p>
    <w:p w14:paraId="1F53E8F2" w14:textId="77777777" w:rsidR="00E361E1" w:rsidRPr="00E361E1" w:rsidRDefault="00E361E1" w:rsidP="00E361E1">
      <w:pPr>
        <w:keepNext/>
        <w:spacing w:after="120" w:line="240" w:lineRule="auto"/>
        <w:rPr>
          <w:rFonts w:ascii="Conduit ITC Pro" w:hAnsi="Conduit ITC Pro"/>
          <w:b/>
          <w:bCs/>
          <w:lang w:val="en-US"/>
        </w:rPr>
      </w:pPr>
      <w:r w:rsidRPr="00E361E1">
        <w:rPr>
          <w:rFonts w:ascii="Conduit ITC Pro" w:hAnsi="Conduit ITC Pro"/>
          <w:b/>
          <w:bCs/>
          <w:lang w:val="en-US"/>
        </w:rPr>
        <w:t>Types of remuneration, etc.</w:t>
      </w:r>
    </w:p>
    <w:p w14:paraId="711C4575" w14:textId="77777777" w:rsidR="00E361E1" w:rsidRPr="00E361E1" w:rsidRDefault="00E361E1" w:rsidP="00E361E1">
      <w:pPr>
        <w:spacing w:after="120" w:line="240" w:lineRule="auto"/>
        <w:rPr>
          <w:rFonts w:ascii="Conduit ITC Pro" w:hAnsi="Conduit ITC Pro"/>
          <w:lang w:val="en-US"/>
        </w:rPr>
      </w:pPr>
      <w:r w:rsidRPr="00E361E1">
        <w:rPr>
          <w:rFonts w:ascii="Conduit ITC Pro" w:hAnsi="Conduit ITC Pro"/>
          <w:lang w:val="en-US"/>
        </w:rPr>
        <w:t>The remuneration to senior executives shall be on market terms and may consist of the following components: fixed cash salary, variable cash remuneration, pension benefits and other benefits.</w:t>
      </w:r>
    </w:p>
    <w:p w14:paraId="64A18686" w14:textId="77777777" w:rsidR="00E361E1" w:rsidRPr="00E361E1" w:rsidRDefault="00E361E1" w:rsidP="00E361E1">
      <w:pPr>
        <w:spacing w:after="120" w:line="240" w:lineRule="auto"/>
        <w:rPr>
          <w:rFonts w:ascii="Conduit ITC Pro" w:hAnsi="Conduit ITC Pro"/>
          <w:lang w:val="en-US"/>
        </w:rPr>
      </w:pPr>
      <w:r w:rsidRPr="00E361E1">
        <w:rPr>
          <w:rFonts w:ascii="Conduit ITC Pro" w:hAnsi="Conduit ITC Pro"/>
          <w:lang w:val="en-US"/>
        </w:rPr>
        <w:t>Additionally, the General Meeting may – irrespective of these guidelines – resolve on, among other things, share-based or share price-related remuneration.</w:t>
      </w:r>
    </w:p>
    <w:p w14:paraId="23B2A79C" w14:textId="77777777" w:rsidR="00E361E1" w:rsidRPr="00E361E1" w:rsidRDefault="00E361E1" w:rsidP="00E361E1">
      <w:pPr>
        <w:spacing w:after="120" w:line="240" w:lineRule="auto"/>
        <w:rPr>
          <w:rFonts w:ascii="Conduit ITC Pro" w:hAnsi="Conduit ITC Pro"/>
          <w:lang w:val="en-US"/>
        </w:rPr>
      </w:pPr>
      <w:r w:rsidRPr="00E361E1">
        <w:rPr>
          <w:rFonts w:ascii="Conduit ITC Pro" w:hAnsi="Conduit ITC Pro"/>
          <w:lang w:val="en-US"/>
        </w:rPr>
        <w:t>The satisfaction of criteria for awarding variable cash remuneration shall be measured over a period of one year. The variable cash remuneration may amount to not more than 100 percent of the fixed annual cash salary.</w:t>
      </w:r>
    </w:p>
    <w:p w14:paraId="17D4D8DA" w14:textId="77777777" w:rsidR="00E361E1" w:rsidRPr="00E361E1" w:rsidRDefault="00E361E1" w:rsidP="00E361E1">
      <w:pPr>
        <w:spacing w:after="120" w:line="240" w:lineRule="auto"/>
        <w:rPr>
          <w:rFonts w:ascii="Conduit ITC Pro" w:hAnsi="Conduit ITC Pro"/>
          <w:lang w:val="en-US"/>
        </w:rPr>
      </w:pPr>
      <w:r w:rsidRPr="00E361E1">
        <w:rPr>
          <w:rFonts w:ascii="Conduit ITC Pro" w:hAnsi="Conduit ITC Pro"/>
          <w:lang w:val="en-US"/>
        </w:rPr>
        <w:t>Pension benefits, including health insurance (</w:t>
      </w:r>
      <w:proofErr w:type="spellStart"/>
      <w:r w:rsidRPr="00E361E1">
        <w:rPr>
          <w:rFonts w:ascii="Conduit ITC Pro" w:hAnsi="Conduit ITC Pro"/>
          <w:lang w:val="en-US"/>
        </w:rPr>
        <w:t>Sw</w:t>
      </w:r>
      <w:proofErr w:type="spellEnd"/>
      <w:r w:rsidRPr="00E361E1">
        <w:rPr>
          <w:rFonts w:ascii="Conduit ITC Pro" w:hAnsi="Conduit ITC Pro"/>
          <w:lang w:val="en-US"/>
        </w:rPr>
        <w:t xml:space="preserve">: </w:t>
      </w:r>
      <w:proofErr w:type="spellStart"/>
      <w:r w:rsidRPr="00E361E1">
        <w:rPr>
          <w:rFonts w:ascii="Conduit ITC Pro" w:hAnsi="Conduit ITC Pro"/>
          <w:lang w:val="en-US"/>
        </w:rPr>
        <w:t>sjukförsäkring</w:t>
      </w:r>
      <w:proofErr w:type="spellEnd"/>
      <w:r w:rsidRPr="00E361E1">
        <w:rPr>
          <w:rFonts w:ascii="Conduit ITC Pro" w:hAnsi="Conduit ITC Pro"/>
          <w:lang w:val="en-US"/>
        </w:rPr>
        <w:t>), shall be premium defined.</w:t>
      </w:r>
    </w:p>
    <w:p w14:paraId="5B8FDA1E" w14:textId="77777777" w:rsidR="00E361E1" w:rsidRPr="00E361E1" w:rsidRDefault="00E361E1" w:rsidP="00E361E1">
      <w:pPr>
        <w:rPr>
          <w:rFonts w:ascii="Conduit ITC Pro" w:hAnsi="Conduit ITC Pro"/>
          <w:lang w:val="en-US"/>
        </w:rPr>
      </w:pPr>
      <w:r w:rsidRPr="00E361E1">
        <w:rPr>
          <w:rFonts w:ascii="Conduit ITC Pro" w:hAnsi="Conduit ITC Pro"/>
          <w:lang w:val="en-US"/>
        </w:rPr>
        <w:t>For the CEO, pension premiums shall be paid under an individual pension plan and shall not exceed 40 percent of the fixed annual cash salary. Variable cash remuneration shall not qualify for pension benefits. For other senior executives, the pension premiums shall be on a par with the Swedish ITP plan and may amount to not more than 30 percent of the fixed annual cash salary. Variable cash remuneration shall not qualify for pension benefits.</w:t>
      </w:r>
    </w:p>
    <w:p w14:paraId="38AF9035" w14:textId="77777777" w:rsidR="00E361E1" w:rsidRPr="00E361E1" w:rsidRDefault="00E361E1" w:rsidP="00E361E1">
      <w:pPr>
        <w:rPr>
          <w:rFonts w:ascii="Conduit ITC Pro" w:hAnsi="Conduit ITC Pro"/>
          <w:lang w:val="en-US"/>
        </w:rPr>
      </w:pPr>
      <w:r w:rsidRPr="00E361E1">
        <w:rPr>
          <w:rFonts w:ascii="Conduit ITC Pro" w:hAnsi="Conduit ITC Pro"/>
          <w:lang w:val="en-US"/>
        </w:rPr>
        <w:t>Other benefits may include life insurance, medical insurance and company cars. Such benefits shall not comprise a significant share of the total remuneration and may amount to not more than 20 percent of the fixed annual cash salary.</w:t>
      </w:r>
    </w:p>
    <w:p w14:paraId="423C1CE4" w14:textId="77777777" w:rsidR="00E361E1" w:rsidRPr="00E361E1" w:rsidRDefault="00E361E1" w:rsidP="00E361E1">
      <w:pPr>
        <w:keepNext/>
        <w:spacing w:after="120" w:line="240" w:lineRule="auto"/>
        <w:rPr>
          <w:rFonts w:ascii="Conduit ITC Pro" w:hAnsi="Conduit ITC Pro"/>
          <w:lang w:val="en-US"/>
        </w:rPr>
      </w:pPr>
      <w:r w:rsidRPr="00E361E1">
        <w:rPr>
          <w:rFonts w:ascii="Conduit ITC Pro" w:hAnsi="Conduit ITC Pro"/>
          <w:b/>
          <w:bCs/>
          <w:lang w:val="en-US"/>
        </w:rPr>
        <w:t>Criteria for awarding variable cash remuneration, etc.</w:t>
      </w:r>
    </w:p>
    <w:p w14:paraId="172D364A" w14:textId="77777777" w:rsidR="00E361E1" w:rsidRPr="00E361E1" w:rsidRDefault="00E361E1" w:rsidP="00E361E1">
      <w:pPr>
        <w:rPr>
          <w:rFonts w:ascii="Conduit ITC Pro" w:hAnsi="Conduit ITC Pro"/>
          <w:lang w:val="en-US"/>
        </w:rPr>
      </w:pPr>
      <w:r w:rsidRPr="00E361E1">
        <w:rPr>
          <w:rFonts w:ascii="Conduit ITC Pro" w:hAnsi="Conduit ITC Pro"/>
          <w:lang w:val="en-US"/>
        </w:rPr>
        <w:t xml:space="preserve">Any variable cash remuneration shall be linked to predetermined and measurable criteria which can be financial or non-financial. They may also </w:t>
      </w:r>
      <w:proofErr w:type="gramStart"/>
      <w:r w:rsidRPr="00E361E1">
        <w:rPr>
          <w:rFonts w:ascii="Conduit ITC Pro" w:hAnsi="Conduit ITC Pro"/>
          <w:lang w:val="en-US"/>
        </w:rPr>
        <w:t>be</w:t>
      </w:r>
      <w:proofErr w:type="gramEnd"/>
      <w:r w:rsidRPr="00E361E1">
        <w:rPr>
          <w:rFonts w:ascii="Conduit ITC Pro" w:hAnsi="Conduit ITC Pro"/>
          <w:lang w:val="en-US"/>
        </w:rPr>
        <w:t xml:space="preserve"> individualized, quantitative or qualitative objectives. The criteria shall be designed </w:t>
      </w:r>
      <w:proofErr w:type="gramStart"/>
      <w:r w:rsidRPr="00E361E1">
        <w:rPr>
          <w:rFonts w:ascii="Conduit ITC Pro" w:hAnsi="Conduit ITC Pro"/>
          <w:lang w:val="en-US"/>
        </w:rPr>
        <w:t>in order to</w:t>
      </w:r>
      <w:proofErr w:type="gramEnd"/>
      <w:r w:rsidRPr="00E361E1">
        <w:rPr>
          <w:rFonts w:ascii="Conduit ITC Pro" w:hAnsi="Conduit ITC Pro"/>
          <w:lang w:val="en-US"/>
        </w:rPr>
        <w:t xml:space="preserve"> contribute to the company’s business strategy and long-term interests, including its sustainability, by for example being clearly linked to the business strategy or </w:t>
      </w:r>
      <w:proofErr w:type="gramStart"/>
      <w:r w:rsidRPr="00E361E1">
        <w:rPr>
          <w:rFonts w:ascii="Conduit ITC Pro" w:hAnsi="Conduit ITC Pro"/>
          <w:lang w:val="en-US"/>
        </w:rPr>
        <w:t>promote</w:t>
      </w:r>
      <w:proofErr w:type="gramEnd"/>
      <w:r w:rsidRPr="00E361E1">
        <w:rPr>
          <w:rFonts w:ascii="Conduit ITC Pro" w:hAnsi="Conduit ITC Pro"/>
          <w:lang w:val="en-US"/>
        </w:rPr>
        <w:t xml:space="preserve"> the executive’s long-term development.</w:t>
      </w:r>
    </w:p>
    <w:p w14:paraId="3C887818" w14:textId="77777777" w:rsidR="00E361E1" w:rsidRPr="00E361E1" w:rsidRDefault="00E361E1" w:rsidP="00E361E1">
      <w:pPr>
        <w:rPr>
          <w:rFonts w:ascii="Conduit ITC Pro" w:hAnsi="Conduit ITC Pro"/>
          <w:lang w:val="en-US"/>
        </w:rPr>
      </w:pPr>
      <w:r w:rsidRPr="00E361E1">
        <w:rPr>
          <w:rFonts w:ascii="Conduit ITC Pro" w:hAnsi="Conduit ITC Pro"/>
          <w:lang w:val="en-US"/>
        </w:rPr>
        <w:t>Variable cash remuneration for the CEO shall amount to 2 percent of the Group’s earnings before tax. For other senior executives, targets are to be established in accordance with the paragraph above.</w:t>
      </w:r>
    </w:p>
    <w:p w14:paraId="5A7407EF" w14:textId="77777777" w:rsidR="00E361E1" w:rsidRPr="00E361E1" w:rsidRDefault="00E361E1" w:rsidP="00E361E1">
      <w:pPr>
        <w:rPr>
          <w:rFonts w:ascii="Conduit ITC Pro" w:hAnsi="Conduit ITC Pro"/>
          <w:lang w:val="en-US"/>
        </w:rPr>
      </w:pPr>
      <w:r w:rsidRPr="00E361E1">
        <w:rPr>
          <w:rFonts w:ascii="Conduit ITC Pro" w:hAnsi="Conduit ITC Pro"/>
          <w:lang w:val="en-US"/>
        </w:rPr>
        <w:t>When the measurement period for fulfillment of the criteria for receiving variable cash payments has ended, the degree to which the criteria have been met is assessed/determined. The Board is responsible for the evaluation of variable cash remuneration to the CEO. The CEO is responsible for the evaluation of variable cash remuneration to other senior executives. The evaluation of the fulfillment of financial objectives shall be based on the latest financial information published by the company.</w:t>
      </w:r>
    </w:p>
    <w:p w14:paraId="30614626" w14:textId="77777777" w:rsidR="00E361E1" w:rsidRPr="00E361E1" w:rsidRDefault="00E361E1" w:rsidP="00E361E1">
      <w:pPr>
        <w:rPr>
          <w:rFonts w:ascii="Conduit ITC Pro" w:hAnsi="Conduit ITC Pro"/>
          <w:lang w:val="en-US"/>
        </w:rPr>
      </w:pPr>
      <w:r w:rsidRPr="00E361E1">
        <w:rPr>
          <w:rFonts w:ascii="Conduit ITC Pro" w:hAnsi="Conduit ITC Pro"/>
          <w:lang w:val="en-US"/>
        </w:rPr>
        <w:t>The company has no contractual right to recover paid remuneration.</w:t>
      </w:r>
    </w:p>
    <w:p w14:paraId="1ECCEFFB" w14:textId="77777777" w:rsidR="00E361E1" w:rsidRPr="00E361E1" w:rsidRDefault="00E361E1" w:rsidP="00E361E1">
      <w:pPr>
        <w:keepNext/>
        <w:spacing w:after="120" w:line="240" w:lineRule="auto"/>
        <w:rPr>
          <w:rFonts w:ascii="Conduit ITC Pro" w:hAnsi="Conduit ITC Pro"/>
          <w:b/>
          <w:bCs/>
          <w:lang w:val="en-US"/>
        </w:rPr>
      </w:pPr>
      <w:r w:rsidRPr="00E361E1">
        <w:rPr>
          <w:rFonts w:ascii="Conduit ITC Pro" w:hAnsi="Conduit ITC Pro"/>
          <w:b/>
          <w:bCs/>
          <w:lang w:val="en-US"/>
        </w:rPr>
        <w:lastRenderedPageBreak/>
        <w:t>Consulting fees to Board members</w:t>
      </w:r>
    </w:p>
    <w:p w14:paraId="371F314C" w14:textId="77777777" w:rsidR="00E361E1" w:rsidRPr="00E361E1" w:rsidRDefault="00E361E1" w:rsidP="00E361E1">
      <w:pPr>
        <w:rPr>
          <w:rFonts w:ascii="Conduit ITC Pro" w:hAnsi="Conduit ITC Pro"/>
          <w:lang w:val="en-US"/>
        </w:rPr>
      </w:pPr>
      <w:r w:rsidRPr="00E361E1">
        <w:rPr>
          <w:rFonts w:ascii="Conduit ITC Pro" w:hAnsi="Conduit ITC Pro"/>
          <w:lang w:val="en-US"/>
        </w:rPr>
        <w:t xml:space="preserve">The company’s board </w:t>
      </w:r>
      <w:proofErr w:type="gramStart"/>
      <w:r w:rsidRPr="00E361E1">
        <w:rPr>
          <w:rFonts w:ascii="Conduit ITC Pro" w:hAnsi="Conduit ITC Pro"/>
          <w:lang w:val="en-US"/>
        </w:rPr>
        <w:t>members</w:t>
      </w:r>
      <w:proofErr w:type="gramEnd"/>
      <w:r w:rsidRPr="00E361E1">
        <w:rPr>
          <w:rFonts w:ascii="Conduit ITC Pro" w:hAnsi="Conduit ITC Pro"/>
          <w:lang w:val="en-US"/>
        </w:rPr>
        <w:t xml:space="preserve"> elected by the General Meeting and not employed by the company, may in special cases receive a fee for services performed within their respective areas of expertise, separately from their board duties and for a limited </w:t>
      </w:r>
      <w:proofErr w:type="gramStart"/>
      <w:r w:rsidRPr="00E361E1">
        <w:rPr>
          <w:rFonts w:ascii="Conduit ITC Pro" w:hAnsi="Conduit ITC Pro"/>
          <w:lang w:val="en-US"/>
        </w:rPr>
        <w:t>period of time</w:t>
      </w:r>
      <w:proofErr w:type="gramEnd"/>
      <w:r w:rsidRPr="00E361E1">
        <w:rPr>
          <w:rFonts w:ascii="Conduit ITC Pro" w:hAnsi="Conduit ITC Pro"/>
          <w:lang w:val="en-US"/>
        </w:rPr>
        <w:t xml:space="preserve">. Compensation for these services (including services performed through a board member’s </w:t>
      </w:r>
      <w:proofErr w:type="gramStart"/>
      <w:r w:rsidRPr="00E361E1">
        <w:rPr>
          <w:rFonts w:ascii="Conduit ITC Pro" w:hAnsi="Conduit ITC Pro"/>
          <w:lang w:val="en-US"/>
        </w:rPr>
        <w:t>wholly-owned</w:t>
      </w:r>
      <w:proofErr w:type="gramEnd"/>
      <w:r w:rsidRPr="00E361E1">
        <w:rPr>
          <w:rFonts w:ascii="Conduit ITC Pro" w:hAnsi="Conduit ITC Pro"/>
          <w:lang w:val="en-US"/>
        </w:rPr>
        <w:t xml:space="preserve"> company) shall be paid </w:t>
      </w:r>
      <w:proofErr w:type="gramStart"/>
      <w:r w:rsidRPr="00E361E1">
        <w:rPr>
          <w:rFonts w:ascii="Conduit ITC Pro" w:hAnsi="Conduit ITC Pro"/>
          <w:lang w:val="en-US"/>
        </w:rPr>
        <w:t>at</w:t>
      </w:r>
      <w:proofErr w:type="gramEnd"/>
      <w:r w:rsidRPr="00E361E1">
        <w:rPr>
          <w:rFonts w:ascii="Conduit ITC Pro" w:hAnsi="Conduit ITC Pro"/>
          <w:lang w:val="en-US"/>
        </w:rPr>
        <w:t xml:space="preserve"> market terms, provided that such services contribute to the implementation of the company’s business strategy and safeguarding of the company’s long-term interest, including its sustainability.</w:t>
      </w:r>
    </w:p>
    <w:p w14:paraId="42B30487" w14:textId="77777777" w:rsidR="00E361E1" w:rsidRPr="00E361E1" w:rsidRDefault="00E361E1" w:rsidP="00E361E1">
      <w:pPr>
        <w:keepNext/>
        <w:spacing w:after="120" w:line="240" w:lineRule="auto"/>
        <w:rPr>
          <w:rFonts w:ascii="Conduit ITC Pro" w:hAnsi="Conduit ITC Pro"/>
          <w:b/>
          <w:bCs/>
          <w:lang w:val="en-US"/>
        </w:rPr>
      </w:pPr>
      <w:r w:rsidRPr="00E361E1">
        <w:rPr>
          <w:rFonts w:ascii="Conduit ITC Pro" w:hAnsi="Conduit ITC Pro"/>
          <w:b/>
          <w:bCs/>
          <w:lang w:val="en-US"/>
        </w:rPr>
        <w:t>Termination of employment</w:t>
      </w:r>
    </w:p>
    <w:p w14:paraId="68C199AA" w14:textId="77777777" w:rsidR="00E361E1" w:rsidRPr="00E361E1" w:rsidRDefault="00E361E1" w:rsidP="00E361E1">
      <w:pPr>
        <w:rPr>
          <w:rFonts w:ascii="Conduit ITC Pro" w:hAnsi="Conduit ITC Pro"/>
          <w:lang w:val="en-US"/>
        </w:rPr>
      </w:pPr>
      <w:r w:rsidRPr="00E361E1">
        <w:rPr>
          <w:rFonts w:ascii="Conduit ITC Pro" w:hAnsi="Conduit ITC Pro"/>
          <w:lang w:val="en-US"/>
        </w:rPr>
        <w:t>The notice period may not exceed 12 months if notice of termination of employment is made by the company. Fixed cash salary during the period of notice and severance pay may together not exceed an amount equivalent to the fixed cash salary for 18 months. The period of notice may not exceed six months without any right to severance pay for termination by the executive.</w:t>
      </w:r>
    </w:p>
    <w:p w14:paraId="6630FACD" w14:textId="77777777" w:rsidR="00E361E1" w:rsidRPr="00E361E1" w:rsidRDefault="00E361E1" w:rsidP="00E361E1">
      <w:pPr>
        <w:keepNext/>
        <w:spacing w:after="120" w:line="240" w:lineRule="auto"/>
        <w:rPr>
          <w:rFonts w:ascii="Conduit ITC Pro" w:hAnsi="Conduit ITC Pro"/>
          <w:b/>
          <w:bCs/>
          <w:lang w:val="en-US"/>
        </w:rPr>
      </w:pPr>
      <w:r w:rsidRPr="00E361E1">
        <w:rPr>
          <w:rFonts w:ascii="Conduit ITC Pro" w:hAnsi="Conduit ITC Pro"/>
          <w:b/>
          <w:bCs/>
          <w:lang w:val="en-US"/>
        </w:rPr>
        <w:t>Salary and employment conditions for employees</w:t>
      </w:r>
    </w:p>
    <w:p w14:paraId="001287D5" w14:textId="77777777" w:rsidR="00E361E1" w:rsidRPr="00E361E1" w:rsidRDefault="00E361E1" w:rsidP="00E361E1">
      <w:pPr>
        <w:rPr>
          <w:rFonts w:ascii="Conduit ITC Pro" w:hAnsi="Conduit ITC Pro"/>
          <w:lang w:val="en-US"/>
        </w:rPr>
      </w:pPr>
      <w:r w:rsidRPr="00E361E1">
        <w:rPr>
          <w:rFonts w:ascii="Conduit ITC Pro" w:hAnsi="Conduit ITC Pro"/>
          <w:lang w:val="en-US"/>
        </w:rPr>
        <w:t>In the preparation of the Board’s proposal for these remuneration guidelines, salary and employment conditions for employees of the company have been considered by including information on the employees’ total income, the components of the remuneration and increase and growth rate over time, in the Board’s basis of decision when evaluating whether the guidelines and the limitations set out herein are reasonable.</w:t>
      </w:r>
    </w:p>
    <w:p w14:paraId="61F1A56F" w14:textId="77777777" w:rsidR="00E361E1" w:rsidRPr="00E361E1" w:rsidRDefault="00E361E1" w:rsidP="00E361E1">
      <w:pPr>
        <w:keepNext/>
        <w:spacing w:after="120" w:line="240" w:lineRule="auto"/>
        <w:rPr>
          <w:rFonts w:ascii="Conduit ITC Pro" w:hAnsi="Conduit ITC Pro"/>
          <w:b/>
          <w:bCs/>
          <w:lang w:val="en-US"/>
        </w:rPr>
      </w:pPr>
      <w:r w:rsidRPr="00E361E1">
        <w:rPr>
          <w:rFonts w:ascii="Conduit ITC Pro" w:hAnsi="Conduit ITC Pro"/>
          <w:b/>
          <w:bCs/>
          <w:lang w:val="en-US"/>
        </w:rPr>
        <w:t xml:space="preserve">The decision-making process to determine, review and implement the guidelines </w:t>
      </w:r>
    </w:p>
    <w:p w14:paraId="0E646FDE" w14:textId="77777777" w:rsidR="00E361E1" w:rsidRPr="00E361E1" w:rsidRDefault="00E361E1" w:rsidP="00E361E1">
      <w:pPr>
        <w:spacing w:after="120" w:line="240" w:lineRule="auto"/>
        <w:rPr>
          <w:rFonts w:ascii="Conduit ITC Pro" w:hAnsi="Conduit ITC Pro"/>
          <w:lang w:val="en-US"/>
        </w:rPr>
      </w:pPr>
      <w:r w:rsidRPr="00E361E1">
        <w:rPr>
          <w:rFonts w:ascii="Conduit ITC Pro" w:hAnsi="Conduit ITC Pro"/>
          <w:lang w:val="en-US"/>
        </w:rPr>
        <w:t>The Board shall prepare a proposal for new guidelines at least every fourth year and submit it to the General Meeting. The guidelines shall be in force until new guidelines are adopted by the General Meeting. The Board shall also monitor and evaluate programs for variable remuneration for senior executives, the application of the guidelines for executive remuneration as well as the current remuneration structures and compensation levels in the company. The CEO and other members of the executive management do not participate in the Board’s processing of and resolutions regarding remuneration-related matters in so far as they are personally affected by such matters.</w:t>
      </w:r>
    </w:p>
    <w:p w14:paraId="3E243EE9" w14:textId="77777777" w:rsidR="00E361E1" w:rsidRPr="00E361E1" w:rsidRDefault="00E361E1" w:rsidP="00E361E1">
      <w:pPr>
        <w:spacing w:after="120" w:line="240" w:lineRule="auto"/>
        <w:rPr>
          <w:rFonts w:ascii="Conduit ITC Pro" w:hAnsi="Conduit ITC Pro"/>
          <w:b/>
          <w:bCs/>
          <w:lang w:val="en-US"/>
        </w:rPr>
      </w:pPr>
      <w:r w:rsidRPr="00E361E1">
        <w:rPr>
          <w:rFonts w:ascii="Conduit ITC Pro" w:hAnsi="Conduit ITC Pro"/>
          <w:b/>
          <w:bCs/>
          <w:lang w:val="en-US"/>
        </w:rPr>
        <w:t>Deviation from the guidelines</w:t>
      </w:r>
    </w:p>
    <w:p w14:paraId="0F8E5161" w14:textId="77777777" w:rsidR="00E361E1" w:rsidRPr="00E361E1" w:rsidRDefault="00E361E1" w:rsidP="00E361E1">
      <w:pPr>
        <w:spacing w:after="120" w:line="240" w:lineRule="auto"/>
        <w:rPr>
          <w:rFonts w:ascii="Conduit ITC Pro" w:hAnsi="Conduit ITC Pro" w:cstheme="minorHAnsi"/>
          <w:lang w:val="en-US"/>
        </w:rPr>
      </w:pPr>
      <w:r w:rsidRPr="00E361E1">
        <w:rPr>
          <w:rFonts w:ascii="Conduit ITC Pro" w:hAnsi="Conduit ITC Pro"/>
          <w:lang w:val="en-US"/>
        </w:rPr>
        <w:t>The Board may temporarily resolve to deviate from the guidelines, in whole or in part, if in a specific case there is special cause for the deviation and a deviation is necessary to serve the company’s long-term interests, including its sustainability, or to ensure the company’s financial viability.</w:t>
      </w:r>
    </w:p>
    <w:p w14:paraId="61F3AF94" w14:textId="77777777" w:rsidR="006F0D6A" w:rsidRPr="00E361E1" w:rsidRDefault="006F0D6A" w:rsidP="00E361E1">
      <w:pPr>
        <w:rPr>
          <w:lang w:val="en-US"/>
        </w:rPr>
      </w:pPr>
    </w:p>
    <w:sectPr w:rsidR="006F0D6A" w:rsidRPr="00E361E1" w:rsidSect="00D17471">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4D94" w14:textId="77777777" w:rsidR="006930F9" w:rsidRDefault="006930F9" w:rsidP="00D17471">
      <w:pPr>
        <w:spacing w:after="0" w:line="240" w:lineRule="auto"/>
      </w:pPr>
      <w:r>
        <w:separator/>
      </w:r>
    </w:p>
  </w:endnote>
  <w:endnote w:type="continuationSeparator" w:id="0">
    <w:p w14:paraId="0F8B6B9A" w14:textId="77777777" w:rsidR="006930F9" w:rsidRDefault="006930F9" w:rsidP="00D1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duit ITC Pro">
    <w:altName w:val="Cambria"/>
    <w:panose1 w:val="02000606040000020004"/>
    <w:charset w:val="00"/>
    <w:family w:val="modern"/>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499353"/>
      <w:docPartObj>
        <w:docPartGallery w:val="Page Numbers (Bottom of Page)"/>
        <w:docPartUnique/>
      </w:docPartObj>
    </w:sdtPr>
    <w:sdtEndPr>
      <w:rPr>
        <w:noProof/>
      </w:rPr>
    </w:sdtEndPr>
    <w:sdtContent>
      <w:p w14:paraId="1C401026" w14:textId="1A8F86E7" w:rsidR="00D17471" w:rsidRDefault="00D174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53E745" w14:textId="77777777" w:rsidR="00D17471" w:rsidRDefault="00D17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C3BF" w14:textId="77777777" w:rsidR="006930F9" w:rsidRDefault="006930F9" w:rsidP="00D17471">
      <w:pPr>
        <w:spacing w:after="0" w:line="240" w:lineRule="auto"/>
      </w:pPr>
      <w:r>
        <w:separator/>
      </w:r>
    </w:p>
  </w:footnote>
  <w:footnote w:type="continuationSeparator" w:id="0">
    <w:p w14:paraId="36A36923" w14:textId="77777777" w:rsidR="006930F9" w:rsidRDefault="006930F9" w:rsidP="00D17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3116" w14:textId="188EA82B" w:rsidR="00D17471" w:rsidRDefault="00D17471">
    <w:pPr>
      <w:pStyle w:val="Header"/>
      <w:rPr>
        <w:lang w:val="en-US"/>
      </w:rPr>
    </w:pPr>
    <w:r>
      <w:rPr>
        <w:noProof/>
        <w:lang w:eastAsia="zh-CN"/>
      </w:rPr>
      <w:drawing>
        <wp:anchor distT="0" distB="0" distL="114300" distR="114300" simplePos="0" relativeHeight="251659264" behindDoc="0" locked="0" layoutInCell="1" allowOverlap="1" wp14:anchorId="78818941" wp14:editId="439EFAD4">
          <wp:simplePos x="0" y="0"/>
          <wp:positionH relativeFrom="column">
            <wp:posOffset>4329112</wp:posOffset>
          </wp:positionH>
          <wp:positionV relativeFrom="paragraph">
            <wp:posOffset>-206693</wp:posOffset>
          </wp:positionV>
          <wp:extent cx="1420495" cy="572563"/>
          <wp:effectExtent l="0" t="0" r="8255" b="0"/>
          <wp:wrapNone/>
          <wp:docPr id="3" name="Picture 3" descr="The image features the logo of RaySearch Laboratories, which includes a stylized, metallic starburst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image features the logo of RaySearch Laboratories, which includes a stylized, metallic starburst patter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0495" cy="5725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924A6" w14:textId="2D0CD59F" w:rsidR="00D17471" w:rsidRDefault="00D17471">
    <w:pPr>
      <w:pStyle w:val="Header"/>
      <w:rPr>
        <w:lang w:val="en-US"/>
      </w:rPr>
    </w:pPr>
  </w:p>
  <w:p w14:paraId="78D32B13" w14:textId="743E63FC" w:rsidR="00D17471" w:rsidRDefault="00D17471">
    <w:pPr>
      <w:pStyle w:val="Header"/>
      <w:rPr>
        <w:lang w:val="en-US"/>
      </w:rPr>
    </w:pPr>
  </w:p>
  <w:p w14:paraId="2F5DE415" w14:textId="77777777" w:rsidR="00D17471" w:rsidRPr="00D17471" w:rsidRDefault="00D17471">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71"/>
    <w:rsid w:val="00114DC9"/>
    <w:rsid w:val="00474004"/>
    <w:rsid w:val="004D20EB"/>
    <w:rsid w:val="006930F9"/>
    <w:rsid w:val="006F0D6A"/>
    <w:rsid w:val="007110CB"/>
    <w:rsid w:val="00867AAF"/>
    <w:rsid w:val="00D17471"/>
    <w:rsid w:val="00D316B1"/>
    <w:rsid w:val="00DF7898"/>
    <w:rsid w:val="00E361E1"/>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453C"/>
  <w15:chartTrackingRefBased/>
  <w15:docId w15:val="{DE59D9CA-EBA0-4CD4-B11F-151FD7AA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471"/>
    <w:pPr>
      <w:spacing w:line="259" w:lineRule="auto"/>
    </w:pPr>
    <w:rPr>
      <w:kern w:val="0"/>
      <w:sz w:val="22"/>
      <w:szCs w:val="22"/>
      <w:lang w:val="sv-SE"/>
      <w14:ligatures w14:val="none"/>
    </w:rPr>
  </w:style>
  <w:style w:type="paragraph" w:styleId="Heading1">
    <w:name w:val="heading 1"/>
    <w:basedOn w:val="Normal"/>
    <w:next w:val="Normal"/>
    <w:link w:val="Heading1Char"/>
    <w:uiPriority w:val="9"/>
    <w:qFormat/>
    <w:rsid w:val="00D17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471"/>
    <w:rPr>
      <w:rFonts w:asciiTheme="majorHAnsi" w:eastAsiaTheme="majorEastAsia" w:hAnsiTheme="majorHAnsi" w:cstheme="majorBidi"/>
      <w:color w:val="0F4761" w:themeColor="accent1" w:themeShade="BF"/>
      <w:sz w:val="40"/>
      <w:szCs w:val="40"/>
      <w:lang w:val="sv-SE"/>
    </w:rPr>
  </w:style>
  <w:style w:type="character" w:customStyle="1" w:styleId="Heading2Char">
    <w:name w:val="Heading 2 Char"/>
    <w:basedOn w:val="DefaultParagraphFont"/>
    <w:link w:val="Heading2"/>
    <w:uiPriority w:val="9"/>
    <w:semiHidden/>
    <w:rsid w:val="00D17471"/>
    <w:rPr>
      <w:rFonts w:asciiTheme="majorHAnsi" w:eastAsiaTheme="majorEastAsia" w:hAnsiTheme="majorHAnsi" w:cstheme="majorBidi"/>
      <w:color w:val="0F4761" w:themeColor="accent1" w:themeShade="BF"/>
      <w:sz w:val="32"/>
      <w:szCs w:val="32"/>
      <w:lang w:val="sv-SE"/>
    </w:rPr>
  </w:style>
  <w:style w:type="character" w:customStyle="1" w:styleId="Heading3Char">
    <w:name w:val="Heading 3 Char"/>
    <w:basedOn w:val="DefaultParagraphFont"/>
    <w:link w:val="Heading3"/>
    <w:uiPriority w:val="9"/>
    <w:semiHidden/>
    <w:rsid w:val="00D17471"/>
    <w:rPr>
      <w:rFonts w:eastAsiaTheme="majorEastAsia" w:cstheme="majorBidi"/>
      <w:color w:val="0F4761" w:themeColor="accent1" w:themeShade="BF"/>
      <w:sz w:val="28"/>
      <w:szCs w:val="28"/>
      <w:lang w:val="sv-SE"/>
    </w:rPr>
  </w:style>
  <w:style w:type="character" w:customStyle="1" w:styleId="Heading4Char">
    <w:name w:val="Heading 4 Char"/>
    <w:basedOn w:val="DefaultParagraphFont"/>
    <w:link w:val="Heading4"/>
    <w:uiPriority w:val="9"/>
    <w:semiHidden/>
    <w:rsid w:val="00D17471"/>
    <w:rPr>
      <w:rFonts w:eastAsiaTheme="majorEastAsia" w:cstheme="majorBidi"/>
      <w:i/>
      <w:iCs/>
      <w:color w:val="0F4761" w:themeColor="accent1" w:themeShade="BF"/>
      <w:lang w:val="sv-SE"/>
    </w:rPr>
  </w:style>
  <w:style w:type="character" w:customStyle="1" w:styleId="Heading5Char">
    <w:name w:val="Heading 5 Char"/>
    <w:basedOn w:val="DefaultParagraphFont"/>
    <w:link w:val="Heading5"/>
    <w:uiPriority w:val="9"/>
    <w:semiHidden/>
    <w:rsid w:val="00D17471"/>
    <w:rPr>
      <w:rFonts w:eastAsiaTheme="majorEastAsia" w:cstheme="majorBidi"/>
      <w:color w:val="0F4761" w:themeColor="accent1" w:themeShade="BF"/>
      <w:lang w:val="sv-SE"/>
    </w:rPr>
  </w:style>
  <w:style w:type="character" w:customStyle="1" w:styleId="Heading6Char">
    <w:name w:val="Heading 6 Char"/>
    <w:basedOn w:val="DefaultParagraphFont"/>
    <w:link w:val="Heading6"/>
    <w:uiPriority w:val="9"/>
    <w:semiHidden/>
    <w:rsid w:val="00D17471"/>
    <w:rPr>
      <w:rFonts w:eastAsiaTheme="majorEastAsia" w:cstheme="majorBidi"/>
      <w:i/>
      <w:iCs/>
      <w:color w:val="595959" w:themeColor="text1" w:themeTint="A6"/>
      <w:lang w:val="sv-SE"/>
    </w:rPr>
  </w:style>
  <w:style w:type="character" w:customStyle="1" w:styleId="Heading7Char">
    <w:name w:val="Heading 7 Char"/>
    <w:basedOn w:val="DefaultParagraphFont"/>
    <w:link w:val="Heading7"/>
    <w:uiPriority w:val="9"/>
    <w:semiHidden/>
    <w:rsid w:val="00D17471"/>
    <w:rPr>
      <w:rFonts w:eastAsiaTheme="majorEastAsia" w:cstheme="majorBidi"/>
      <w:color w:val="595959" w:themeColor="text1" w:themeTint="A6"/>
      <w:lang w:val="sv-SE"/>
    </w:rPr>
  </w:style>
  <w:style w:type="character" w:customStyle="1" w:styleId="Heading8Char">
    <w:name w:val="Heading 8 Char"/>
    <w:basedOn w:val="DefaultParagraphFont"/>
    <w:link w:val="Heading8"/>
    <w:uiPriority w:val="9"/>
    <w:semiHidden/>
    <w:rsid w:val="00D17471"/>
    <w:rPr>
      <w:rFonts w:eastAsiaTheme="majorEastAsia" w:cstheme="majorBidi"/>
      <w:i/>
      <w:iCs/>
      <w:color w:val="272727" w:themeColor="text1" w:themeTint="D8"/>
      <w:lang w:val="sv-SE"/>
    </w:rPr>
  </w:style>
  <w:style w:type="character" w:customStyle="1" w:styleId="Heading9Char">
    <w:name w:val="Heading 9 Char"/>
    <w:basedOn w:val="DefaultParagraphFont"/>
    <w:link w:val="Heading9"/>
    <w:uiPriority w:val="9"/>
    <w:semiHidden/>
    <w:rsid w:val="00D17471"/>
    <w:rPr>
      <w:rFonts w:eastAsiaTheme="majorEastAsia" w:cstheme="majorBidi"/>
      <w:color w:val="272727" w:themeColor="text1" w:themeTint="D8"/>
      <w:lang w:val="sv-SE"/>
    </w:rPr>
  </w:style>
  <w:style w:type="paragraph" w:styleId="Title">
    <w:name w:val="Title"/>
    <w:basedOn w:val="Normal"/>
    <w:next w:val="Normal"/>
    <w:link w:val="TitleChar"/>
    <w:uiPriority w:val="10"/>
    <w:qFormat/>
    <w:rsid w:val="00D17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471"/>
    <w:rPr>
      <w:rFonts w:asciiTheme="majorHAnsi" w:eastAsiaTheme="majorEastAsia" w:hAnsiTheme="majorHAnsi" w:cstheme="majorBidi"/>
      <w:spacing w:val="-10"/>
      <w:kern w:val="28"/>
      <w:sz w:val="56"/>
      <w:szCs w:val="56"/>
      <w:lang w:val="sv-SE"/>
    </w:rPr>
  </w:style>
  <w:style w:type="paragraph" w:styleId="Subtitle">
    <w:name w:val="Subtitle"/>
    <w:basedOn w:val="Normal"/>
    <w:next w:val="Normal"/>
    <w:link w:val="SubtitleChar"/>
    <w:uiPriority w:val="11"/>
    <w:qFormat/>
    <w:rsid w:val="00D17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471"/>
    <w:rPr>
      <w:rFonts w:eastAsiaTheme="majorEastAsia" w:cstheme="majorBidi"/>
      <w:color w:val="595959" w:themeColor="text1" w:themeTint="A6"/>
      <w:spacing w:val="15"/>
      <w:sz w:val="28"/>
      <w:szCs w:val="28"/>
      <w:lang w:val="sv-SE"/>
    </w:rPr>
  </w:style>
  <w:style w:type="paragraph" w:styleId="Quote">
    <w:name w:val="Quote"/>
    <w:basedOn w:val="Normal"/>
    <w:next w:val="Normal"/>
    <w:link w:val="QuoteChar"/>
    <w:uiPriority w:val="29"/>
    <w:qFormat/>
    <w:rsid w:val="00D17471"/>
    <w:pPr>
      <w:spacing w:before="160"/>
      <w:jc w:val="center"/>
    </w:pPr>
    <w:rPr>
      <w:i/>
      <w:iCs/>
      <w:color w:val="404040" w:themeColor="text1" w:themeTint="BF"/>
    </w:rPr>
  </w:style>
  <w:style w:type="character" w:customStyle="1" w:styleId="QuoteChar">
    <w:name w:val="Quote Char"/>
    <w:basedOn w:val="DefaultParagraphFont"/>
    <w:link w:val="Quote"/>
    <w:uiPriority w:val="29"/>
    <w:rsid w:val="00D17471"/>
    <w:rPr>
      <w:i/>
      <w:iCs/>
      <w:color w:val="404040" w:themeColor="text1" w:themeTint="BF"/>
      <w:lang w:val="sv-SE"/>
    </w:rPr>
  </w:style>
  <w:style w:type="paragraph" w:styleId="ListParagraph">
    <w:name w:val="List Paragraph"/>
    <w:basedOn w:val="Normal"/>
    <w:uiPriority w:val="34"/>
    <w:qFormat/>
    <w:rsid w:val="00D17471"/>
    <w:pPr>
      <w:ind w:left="720"/>
      <w:contextualSpacing/>
    </w:pPr>
  </w:style>
  <w:style w:type="character" w:styleId="IntenseEmphasis">
    <w:name w:val="Intense Emphasis"/>
    <w:basedOn w:val="DefaultParagraphFont"/>
    <w:uiPriority w:val="21"/>
    <w:qFormat/>
    <w:rsid w:val="00D17471"/>
    <w:rPr>
      <w:i/>
      <w:iCs/>
      <w:color w:val="0F4761" w:themeColor="accent1" w:themeShade="BF"/>
    </w:rPr>
  </w:style>
  <w:style w:type="paragraph" w:styleId="IntenseQuote">
    <w:name w:val="Intense Quote"/>
    <w:basedOn w:val="Normal"/>
    <w:next w:val="Normal"/>
    <w:link w:val="IntenseQuoteChar"/>
    <w:uiPriority w:val="30"/>
    <w:qFormat/>
    <w:rsid w:val="00D17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471"/>
    <w:rPr>
      <w:i/>
      <w:iCs/>
      <w:color w:val="0F4761" w:themeColor="accent1" w:themeShade="BF"/>
      <w:lang w:val="sv-SE"/>
    </w:rPr>
  </w:style>
  <w:style w:type="character" w:styleId="IntenseReference">
    <w:name w:val="Intense Reference"/>
    <w:basedOn w:val="DefaultParagraphFont"/>
    <w:uiPriority w:val="32"/>
    <w:qFormat/>
    <w:rsid w:val="00D17471"/>
    <w:rPr>
      <w:b/>
      <w:bCs/>
      <w:smallCaps/>
      <w:color w:val="0F4761" w:themeColor="accent1" w:themeShade="BF"/>
      <w:spacing w:val="5"/>
    </w:rPr>
  </w:style>
  <w:style w:type="character" w:styleId="Hyperlink">
    <w:name w:val="Hyperlink"/>
    <w:basedOn w:val="DefaultParagraphFont"/>
    <w:unhideWhenUsed/>
    <w:rsid w:val="00D17471"/>
    <w:rPr>
      <w:color w:val="467886" w:themeColor="hyperlink"/>
      <w:u w:val="single"/>
    </w:rPr>
  </w:style>
  <w:style w:type="paragraph" w:styleId="Header">
    <w:name w:val="header"/>
    <w:basedOn w:val="Normal"/>
    <w:link w:val="HeaderChar"/>
    <w:uiPriority w:val="99"/>
    <w:unhideWhenUsed/>
    <w:rsid w:val="00D17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471"/>
    <w:rPr>
      <w:kern w:val="0"/>
      <w:sz w:val="22"/>
      <w:szCs w:val="22"/>
      <w:lang w:val="sv-SE"/>
      <w14:ligatures w14:val="none"/>
    </w:rPr>
  </w:style>
  <w:style w:type="paragraph" w:styleId="Footer">
    <w:name w:val="footer"/>
    <w:basedOn w:val="Normal"/>
    <w:link w:val="FooterChar"/>
    <w:uiPriority w:val="99"/>
    <w:unhideWhenUsed/>
    <w:rsid w:val="00D17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471"/>
    <w:rPr>
      <w:kern w:val="0"/>
      <w:sz w:val="22"/>
      <w:szCs w:val="22"/>
      <w:lang w:val="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ysearchlabs.com"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2940E6E6FDF48B02B2880FF89F78A" ma:contentTypeVersion="31" ma:contentTypeDescription="Create a new document." ma:contentTypeScope="" ma:versionID="d64e4f44e3aef65f46cb208817777e15">
  <xsd:schema xmlns:xsd="http://www.w3.org/2001/XMLSchema" xmlns:xs="http://www.w3.org/2001/XMLSchema" xmlns:p="http://schemas.microsoft.com/office/2006/metadata/properties" xmlns:ns2="bd028b42-bb88-4e1e-814f-716ba569b317" xmlns:ns3="bcc6841c-c43e-4899-b1fa-b1cbdd49adfa" targetNamespace="http://schemas.microsoft.com/office/2006/metadata/properties" ma:root="true" ma:fieldsID="47559cb52e6a1d3dd8bf86a86cf223c4" ns2:_="" ns3:_="">
    <xsd:import namespace="bd028b42-bb88-4e1e-814f-716ba569b317"/>
    <xsd:import namespace="bcc6841c-c43e-4899-b1fa-b1cbdd49adfa"/>
    <xsd:element name="properties">
      <xsd:complexType>
        <xsd:sequence>
          <xsd:element name="documentManagement">
            <xsd:complexType>
              <xsd:all>
                <xsd:element ref="ns2:MediaServiceMetadata" minOccurs="0"/>
                <xsd:element ref="ns2:MediaServiceFastMetadata" minOccurs="0"/>
                <xsd:element ref="ns2:Revised_x0020_by_x0020_EY" minOccurs="0"/>
                <xsd:element ref="ns2:LicensDate" minOccurs="0"/>
                <xsd:element ref="ns2:Projektnr"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8b42-bb88-4e1e-814f-716ba569b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sed_x0020_by_x0020_EY" ma:index="10" nillable="true" ma:displayName="Revised by EY" ma:default="0" ma:format="Dropdown" ma:internalName="Revised_x0020_by_x0020_EY">
      <xsd:simpleType>
        <xsd:restriction base="dms:Boolean"/>
      </xsd:simpleType>
    </xsd:element>
    <xsd:element name="LicensDate" ma:index="11" nillable="true" ma:displayName="Licens Date" ma:format="Dropdown" ma:internalName="LicensDate">
      <xsd:simpleType>
        <xsd:restriction base="dms:Text">
          <xsd:maxLength value="7"/>
        </xsd:restriction>
      </xsd:simpleType>
    </xsd:element>
    <xsd:element name="Projektnr" ma:index="12" nillable="true" ma:displayName="Projektnr" ma:format="Dropdown" ma:internalName="Projektnr">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c03fb52-d095-4f3b-875c-56e28128d6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c6841c-c43e-4899-b1fa-b1cbdd49adf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8fcde31-0dae-42bd-9f2f-abb55989732d}" ma:internalName="TaxCatchAll" ma:showField="CatchAllData" ma:web="bcc6841c-c43e-4899-b1fa-b1cbdd49a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ed_x0020_by_x0020_EY xmlns="bd028b42-bb88-4e1e-814f-716ba569b317">false</Revised_x0020_by_x0020_EY>
    <Projektnr xmlns="bd028b42-bb88-4e1e-814f-716ba569b317" xsi:nil="true"/>
    <TaxCatchAll xmlns="bcc6841c-c43e-4899-b1fa-b1cbdd49adfa" xsi:nil="true"/>
    <lcf76f155ced4ddcb4097134ff3c332f xmlns="bd028b42-bb88-4e1e-814f-716ba569b317">
      <Terms xmlns="http://schemas.microsoft.com/office/infopath/2007/PartnerControls"/>
    </lcf76f155ced4ddcb4097134ff3c332f>
    <LicensDate xmlns="bd028b42-bb88-4e1e-814f-716ba569b317" xsi:nil="true"/>
  </documentManagement>
</p:properties>
</file>

<file path=customXml/itemProps1.xml><?xml version="1.0" encoding="utf-8"?>
<ds:datastoreItem xmlns:ds="http://schemas.openxmlformats.org/officeDocument/2006/customXml" ds:itemID="{B86BFAB6-2DD1-4F14-8C17-FCFEAEEC266B}"/>
</file>

<file path=customXml/itemProps2.xml><?xml version="1.0" encoding="utf-8"?>
<ds:datastoreItem xmlns:ds="http://schemas.openxmlformats.org/officeDocument/2006/customXml" ds:itemID="{C185F008-6BE7-4B8C-8D4C-BBFFA92DED8B}"/>
</file>

<file path=customXml/itemProps3.xml><?xml version="1.0" encoding="utf-8"?>
<ds:datastoreItem xmlns:ds="http://schemas.openxmlformats.org/officeDocument/2006/customXml" ds:itemID="{0100C769-E606-4612-A69D-7D3CEAE83051}"/>
</file>

<file path=docMetadata/LabelInfo.xml><?xml version="1.0" encoding="utf-8"?>
<clbl:labelList xmlns:clbl="http://schemas.microsoft.com/office/2020/mipLabelMetadata">
  <clbl:label id="{f1103c1d-0a9a-4054-8b4c-698999cebed9}" enabled="1" method="Standard" siteId="{50ba1ecf-6812-4030-81b8-a9b983f4f35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5638</Characters>
  <Application>Microsoft Office Word</Application>
  <DocSecurity>0</DocSecurity>
  <Lines>75</Lines>
  <Paragraphs>34</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Haglund Strömlid</dc:creator>
  <cp:keywords/>
  <dc:description/>
  <cp:lastModifiedBy>Carolina Haglund Strömlid</cp:lastModifiedBy>
  <cp:revision>3</cp:revision>
  <cp:lastPrinted>2026-05-11T15:14:00Z</cp:lastPrinted>
  <dcterms:created xsi:type="dcterms:W3CDTF">2026-05-11T15:16:00Z</dcterms:created>
  <dcterms:modified xsi:type="dcterms:W3CDTF">2026-05-11T15:17:00Z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0x0101000D12940E6E6FDF48B02B2880FF89F78A</vt:lpwstr>
  </property>
</Properties>
</file>